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bidi w:val="1"/>
        <w:spacing w:after="280" w:before="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4514850</wp:posOffset>
            </wp:positionH>
            <wp:positionV relativeFrom="paragraph">
              <wp:posOffset>-571499</wp:posOffset>
            </wp:positionV>
            <wp:extent cx="2125345" cy="518160"/>
            <wp:effectExtent b="0" l="0" r="0" t="0"/>
            <wp:wrapSquare wrapText="bothSides" distB="0" distT="0" distL="114300" distR="114300"/>
            <wp:docPr descr="jewish-agency.png" id="1" name="image1.png"/>
            <a:graphic>
              <a:graphicData uri="http://schemas.openxmlformats.org/drawingml/2006/picture">
                <pic:pic>
                  <pic:nvPicPr>
                    <pic:cNvPr descr="jewish-agency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518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bidi w:val="1"/>
        <w:spacing w:after="280" w:lineRule="auto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וזה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הזמן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ל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(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זמנים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ומועדי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ישראל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בראי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תרבות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ויצירה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ישראלית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)</w:t>
      </w:r>
    </w:p>
    <w:p w:rsidR="00000000" w:rsidDel="00000000" w:rsidP="00000000" w:rsidRDefault="00000000" w:rsidRPr="00000000" w14:paraId="00000004">
      <w:pPr>
        <w:shd w:fill="ffffff" w:val="clear"/>
        <w:bidi w:val="1"/>
        <w:spacing w:after="280" w:before="280" w:lineRule="auto"/>
        <w:rPr>
          <w:rFonts w:ascii="bold" w:cs="bold" w:eastAsia="bold" w:hAnsi="bo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right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rFonts w:ascii="Tahoma" w:cs="Tahoma" w:eastAsia="Tahoma" w:hAnsi="Tahoma"/>
          <w:b w:val="1"/>
          <w:sz w:val="40"/>
          <w:szCs w:val="40"/>
        </w:rPr>
      </w:pPr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rtl w:val="1"/>
        </w:rPr>
        <w:t xml:space="preserve">ט</w:t>
      </w:r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rtl w:val="1"/>
        </w:rPr>
        <w:t xml:space="preserve">״</w:t>
      </w:r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rtl w:val="1"/>
        </w:rPr>
        <w:t xml:space="preserve">ו</w:t>
      </w:r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rtl w:val="1"/>
        </w:rPr>
        <w:t xml:space="preserve">בשבט</w:t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280" w:before="28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זמן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למחשבה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אישית</w:t>
      </w:r>
    </w:p>
    <w:p w:rsidR="00000000" w:rsidDel="00000000" w:rsidP="00000000" w:rsidRDefault="00000000" w:rsidRPr="00000000" w14:paraId="00000009">
      <w:pPr>
        <w:bidi w:val="1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ְ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מ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ָ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שותלים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1"/>
        </w:rPr>
        <w:t xml:space="preserve">?)</w:t>
      </w:r>
    </w:p>
    <w:p w:rsidR="00000000" w:rsidDel="00000000" w:rsidP="00000000" w:rsidRDefault="00000000" w:rsidRPr="00000000" w14:paraId="0000000A">
      <w:pPr>
        <w:bidi w:val="1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בתלמוד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הבבלי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תענית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דף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כג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מובא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מעשה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אודות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חוני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המעגל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אמר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רבי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יוחנן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ימיו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צדיק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חוני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מצטער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הבנת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מקרא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'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המעלות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בשוב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שיבת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ציון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היינו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כחולמים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'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תהלים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קכ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אמר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חוני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):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ייתכן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שיישן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שבעים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ברציפות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בחלום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?! </w:t>
      </w:r>
    </w:p>
    <w:p w:rsidR="00000000" w:rsidDel="00000000" w:rsidP="00000000" w:rsidRDefault="00000000" w:rsidRPr="00000000" w14:paraId="0000000F">
      <w:pPr>
        <w:bidi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חוני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מהלך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בדרך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ראה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האיש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נוטע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חרוב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אמר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חרוב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להמתין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שיטען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פירות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? </w:t>
      </w:r>
    </w:p>
    <w:p w:rsidR="00000000" w:rsidDel="00000000" w:rsidP="00000000" w:rsidRDefault="00000000" w:rsidRPr="00000000" w14:paraId="00000011">
      <w:pPr>
        <w:bidi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אמר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שבעים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יטען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בפעם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ראשונה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אמר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חוני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לאיש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פשוט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לך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שתחיה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שבעים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? </w:t>
      </w:r>
    </w:p>
    <w:p w:rsidR="00000000" w:rsidDel="00000000" w:rsidP="00000000" w:rsidRDefault="00000000" w:rsidRPr="00000000" w14:paraId="00000013">
      <w:pPr>
        <w:bidi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אמר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האיש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מצאתי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נטוע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בחרובים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ששתלו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עבורי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אבותי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שותל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לבני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.״ </w:t>
      </w:r>
    </w:p>
    <w:p w:rsidR="00000000" w:rsidDel="00000000" w:rsidP="00000000" w:rsidRDefault="00000000" w:rsidRPr="00000000" w14:paraId="00000014">
      <w:pPr>
        <w:bidi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זמן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לחזור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למקור</w:t>
      </w:r>
    </w:p>
    <w:p w:rsidR="00000000" w:rsidDel="00000000" w:rsidP="00000000" w:rsidRDefault="00000000" w:rsidRPr="00000000" w14:paraId="00000017">
      <w:pPr>
        <w:bidi w:val="1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מה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הקשר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בין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ט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״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ו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בשבט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והתנועה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הציונית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התאריך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בשבט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נזכר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לראשונה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במשנה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סכת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ראש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השנה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׳: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׳:</w:t>
      </w:r>
    </w:p>
    <w:p w:rsidR="00000000" w:rsidDel="00000000" w:rsidP="00000000" w:rsidRDefault="00000000" w:rsidRPr="00000000" w14:paraId="0000001B">
      <w:pPr>
        <w:bidi w:val="1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אש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ֵׁ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ָׁ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יס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אש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ׁ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ָּׁ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ֶּ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ֱ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אש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ׁ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ָּׁ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ַׂ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ִּ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ִּ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ִׁ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עו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ְׁ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ְׁ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אש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ׁ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ָּׁ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ָּׁ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ְּׁ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ִּ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ין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קו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ִּ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ְׁ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אש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ׁ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ָּׁ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יל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ית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ַׁ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ַּ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ֵּ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ית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ֵּ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ַּ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ָּׁ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ָׂ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."</w:t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ראשית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הציונות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והקמתן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המושבות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הראשונות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קיבל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בשבט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משמעות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נוספת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טקס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הנטיעות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בשבט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התקיים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בשנת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תרמ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(1884),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במושבה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ייסוד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המעלה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ההיסטוריון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זאב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יעבץ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ששימש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מחנך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ומנהל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יצא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בקריאה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לקבוע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בשבט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כחג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הנטיעות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ובט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בשבט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שנת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תר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– 1890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לקח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תלמידיו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לנטיעת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עצים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במושבה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זיכרון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יעקב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בתחילת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המאה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- 20,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בשנת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 1908,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הכריזה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הסתדרות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המורים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והגננות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בשבט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כחג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1"/>
        </w:rPr>
        <w:t xml:space="preserve">הנטיעות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הרעיון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קיבל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אישורם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מוסדות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התנועה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שפעלו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באותן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לפני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ומנהג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הנטיעות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התקבל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מוסדות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החינוך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העבריים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והתבצע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והקרן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הקיימת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1"/>
        </w:rPr>
        <w:t xml:space="preserve">לישראל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(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1"/>
          </w:rPr>
          <w:t xml:space="preserve">לקריאה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1"/>
          </w:rPr>
          <w:t xml:space="preserve"> 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1"/>
          </w:rPr>
          <w:t xml:space="preserve">נוספת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בעברית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1"/>
        </w:rPr>
        <w:t xml:space="preserve">ו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1"/>
          </w:rPr>
          <w:t xml:space="preserve">בספרדית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זמן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לשיח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24">
      <w:pPr>
        <w:bidi w:val="1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איך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 ״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שותלים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״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ציונות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?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או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הזמנה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לסדר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1"/>
        </w:rPr>
        <w:t xml:space="preserve">)</w:t>
      </w:r>
    </w:p>
    <w:p w:rsidR="00000000" w:rsidDel="00000000" w:rsidP="00000000" w:rsidRDefault="00000000" w:rsidRPr="00000000" w14:paraId="00000025">
      <w:pPr>
        <w:bidi w:val="1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1"/>
        </w:rPr>
        <w:t xml:space="preserve">פרות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1"/>
        </w:rPr>
        <w:t xml:space="preserve">חמישה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1"/>
        </w:rPr>
        <w:t xml:space="preserve">עשר</w:t>
      </w:r>
    </w:p>
    <w:p w:rsidR="00000000" w:rsidDel="00000000" w:rsidP="00000000" w:rsidRDefault="00000000" w:rsidRPr="00000000" w14:paraId="00000027">
      <w:pPr>
        <w:bidi w:val="1"/>
        <w:jc w:val="center"/>
        <w:rPr>
          <w:rFonts w:ascii="Arial" w:cs="Arial" w:eastAsia="Arial" w:hAnsi="Arial"/>
          <w:sz w:val="22"/>
          <w:szCs w:val="22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1"/>
          </w:rPr>
          <w:t xml:space="preserve">מילים</w:t>
        </w:r>
      </w:hyperlink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1"/>
          </w:rPr>
          <w:t xml:space="preserve"> </w:t>
        </w:r>
      </w:hyperlink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1"/>
          </w:rPr>
          <w:t xml:space="preserve">ולחן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שמר</w:t>
      </w:r>
    </w:p>
    <w:p w:rsidR="00000000" w:rsidDel="00000000" w:rsidP="00000000" w:rsidRDefault="00000000" w:rsidRPr="00000000" w14:paraId="00000028">
      <w:pPr>
        <w:bidi w:val="1"/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2A">
      <w:pPr>
        <w:bidi w:val="1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צו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חו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ְ. </w:t>
      </w:r>
    </w:p>
    <w:p w:rsidR="00000000" w:rsidDel="00000000" w:rsidP="00000000" w:rsidRDefault="00000000" w:rsidRPr="00000000" w14:paraId="0000002B">
      <w:pPr>
        <w:bidi w:val="1"/>
        <w:spacing w:line="27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</w:p>
    <w:p w:rsidR="00000000" w:rsidDel="00000000" w:rsidP="00000000" w:rsidRDefault="00000000" w:rsidRPr="00000000" w14:paraId="0000002C">
      <w:pPr>
        <w:bidi w:val="1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צו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חו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2D">
      <w:pPr>
        <w:bidi w:val="1"/>
        <w:spacing w:line="294.5454545454545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line="324.0000000000000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רו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</w:p>
    <w:p w:rsidR="00000000" w:rsidDel="00000000" w:rsidP="00000000" w:rsidRDefault="00000000" w:rsidRPr="00000000" w14:paraId="0000002F">
      <w:pPr>
        <w:bidi w:val="1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טו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30">
      <w:pPr>
        <w:bidi w:val="1"/>
        <w:spacing w:line="324.0000000000000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</w:p>
    <w:p w:rsidR="00000000" w:rsidDel="00000000" w:rsidP="00000000" w:rsidRDefault="00000000" w:rsidRPr="00000000" w14:paraId="00000031">
      <w:pPr>
        <w:bidi w:val="1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spacing w:line="294.5454545454545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line="294.5454545454545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34">
      <w:pPr>
        <w:bidi w:val="1"/>
        <w:spacing w:line="294.5454545454545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צו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חו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ָ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35">
      <w:pPr>
        <w:bidi w:val="1"/>
        <w:spacing w:line="27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</w:p>
    <w:p w:rsidR="00000000" w:rsidDel="00000000" w:rsidP="00000000" w:rsidRDefault="00000000" w:rsidRPr="00000000" w14:paraId="00000036">
      <w:pPr>
        <w:bidi w:val="1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תו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37">
      <w:pPr>
        <w:bidi w:val="1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jc w:val="center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נוסחים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לסדרי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בשבט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1"/>
        </w:rPr>
        <w:t xml:space="preserve">ב</w:t>
      </w:r>
      <w:hyperlink r:id="rId14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highlight w:val="white"/>
            <w:u w:val="single"/>
            <w:rtl w:val="1"/>
          </w:rPr>
          <w:t xml:space="preserve">עברית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, </w:t>
      </w:r>
      <w:hyperlink r:id="rId15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highlight w:val="white"/>
            <w:u w:val="single"/>
            <w:rtl w:val="1"/>
          </w:rPr>
          <w:t xml:space="preserve">אנגלית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, </w:t>
      </w:r>
      <w:hyperlink r:id="rId16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highlight w:val="white"/>
            <w:u w:val="single"/>
            <w:rtl w:val="1"/>
          </w:rPr>
          <w:t xml:space="preserve">ספרדית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rFonts w:ascii="Arial" w:cs="Arial" w:eastAsia="Arial" w:hAnsi="Arial"/>
          <w:color w:val="464646"/>
          <w:sz w:val="22"/>
          <w:szCs w:val="22"/>
          <w:shd w:fill="fafa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rFonts w:ascii="Arial" w:cs="Arial" w:eastAsia="Arial" w:hAnsi="Arial"/>
          <w:color w:val="464646"/>
          <w:sz w:val="22"/>
          <w:szCs w:val="22"/>
          <w:shd w:fill="fafa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IX1O8IATUE0" TargetMode="External"/><Relationship Id="rId10" Type="http://schemas.openxmlformats.org/officeDocument/2006/relationships/hyperlink" Target="http://www.judaismolaico.com/TU-Bishvat-Andy.html" TargetMode="External"/><Relationship Id="rId13" Type="http://schemas.openxmlformats.org/officeDocument/2006/relationships/hyperlink" Target="https://youtu.be/IX1O8IATUE0" TargetMode="External"/><Relationship Id="rId12" Type="http://schemas.openxmlformats.org/officeDocument/2006/relationships/hyperlink" Target="https://youtu.be/IX1O8IATUE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hagim.org.il/tubeshvat%20http://web.nli.org.il/sites/NLI/Hebrew/digitallibrary/gallery/yearly_cycle/Tu_Bishvat/Pages/posters.aspx" TargetMode="External"/><Relationship Id="rId15" Type="http://schemas.openxmlformats.org/officeDocument/2006/relationships/hyperlink" Target="https://www.ritualwell.org/ritual/tu-bshvat-seder" TargetMode="External"/><Relationship Id="rId14" Type="http://schemas.openxmlformats.org/officeDocument/2006/relationships/hyperlink" Target="http://www.tevaivri.org.il/ResourcePage-109-%D7%94%D7%A6%D7%A2%D7%94-%D7%9C%D7%A1%D7%93%D7%A8%D7%99-%D7%98%D7%95-%D7%91%D7%A9%D7%91%D7%98" TargetMode="External"/><Relationship Id="rId16" Type="http://schemas.openxmlformats.org/officeDocument/2006/relationships/hyperlink" Target="http://www.bama.org.ar/sitio2014/sites/default/files/_archivos/merkaz/Jomer_on_line/tubishvat_seder.doc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chagim.org.il/tubeshvat%20http://web.nli.org.il/sites/NLI/Hebrew/digitallibrary/gallery/yearly_cycle/Tu_Bishvat/Pages/posters.aspx" TargetMode="External"/><Relationship Id="rId8" Type="http://schemas.openxmlformats.org/officeDocument/2006/relationships/hyperlink" Target="https://www.chagim.org.il/tubeshvat%20http://web.nli.org.il/sites/NLI/Hebrew/digitallibrary/gallery/yearly_cycle/Tu_Bishvat/Pages/posters.asp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