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Mimuna Celebration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@ Olam Tikvah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450" w:hanging="45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: Sunday, April 8th, 12:00pm-14:00pm.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450" w:hanging="45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Cost per person</w:t>
      </w:r>
      <w:r w:rsidDel="00000000" w:rsidR="00000000" w:rsidRPr="00000000">
        <w:rPr>
          <w:rtl w:val="0"/>
        </w:rPr>
        <w:t xml:space="preserve">: 5$ per adult.  First child’s admission is included with the purchase of an adult ticket, $3 per additional child.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450" w:hanging="450"/>
        <w:rPr/>
      </w:pPr>
      <w:r w:rsidDel="00000000" w:rsidR="00000000" w:rsidRPr="00000000">
        <w:rPr>
          <w:b w:val="1"/>
          <w:u w:val="single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Congregation Olam Tikvah, </w:t>
      </w:r>
      <w:r w:rsidDel="00000000" w:rsidR="00000000" w:rsidRPr="00000000">
        <w:rPr>
          <w:rtl w:val="0"/>
        </w:rPr>
        <w:t xml:space="preserve">3800 Glenbrook Rd, Fairfax, VA 22031.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450" w:hanging="45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Blurb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Come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discover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culture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full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tastes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rituals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history</w:t>
      </w:r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Mimuna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North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African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Jewish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celebrated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Passover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symbolizes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luck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success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Moroccan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delights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henna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tattoos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watch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magnificent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dancing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Noy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especially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Israel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event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Celebrate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Pesach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!</w:t>
        <w:br w:type="textWrapping"/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Moroccan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saying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1"/>
        </w:rPr>
        <w:t xml:space="preserve">תרבחו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ותסעדו</w:t>
      </w:r>
      <w:r w:rsidDel="00000000" w:rsidR="00000000" w:rsidRPr="00000000">
        <w:rPr>
          <w:rtl w:val="0"/>
        </w:rPr>
        <w:t xml:space="preserve">”. </w:t>
      </w:r>
      <w:r w:rsidDel="00000000" w:rsidR="00000000" w:rsidRPr="00000000">
        <w:rPr>
          <w:rtl w:val="0"/>
        </w:rPr>
        <w:t xml:space="preserve">Come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Feel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comfortable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Eat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Happy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50" w:hanging="45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4545"/>
        <w:gridCol w:w="1695"/>
        <w:tblGridChange w:id="0">
          <w:tblGrid>
            <w:gridCol w:w="3120"/>
            <w:gridCol w:w="4545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All the food is being made by hand. The budget is according to the recipes we will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500$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Renting electric stove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Buying to make Mufletta in the Social Hall.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Graphic designer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Includes fliers, digital designs for Facebook and other platforms.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posters, signs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62$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Plates, Utensils and tablecloth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 plates, utensils and tablecloths in gold and silver (bought from Party City).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126$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Mashgiach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we will be in the kitchen we will need a mashgiach.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Traditional costumes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Includes jewelry in gold and silver for the hosts as well as for community use.</w:t>
              <w:br w:type="textWrapping"/>
              <w:t xml:space="preserve">Traditional clothes straight from Israel (few will be the prize in a raffle).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170$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Belly dancing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about the North African tradition as watching a performance and dancing with belly dancer.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250$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Doing Henna as many Mizrahi traditions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250$</w:t>
            </w:r>
          </w:p>
        </w:tc>
      </w:tr>
      <w:tr>
        <w:trPr>
          <w:trHeight w:val="420" w:hRule="atLeast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1,608$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450" w:hanging="45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Other details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Lots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decorations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social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hall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middle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white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decorated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filled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gold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silver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plates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filled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delicacies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tablecloth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write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תרבחו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ותסעדו</w:t>
      </w:r>
      <w:r w:rsidDel="00000000" w:rsidR="00000000" w:rsidRPr="00000000">
        <w:rPr>
          <w:rtl w:val="0"/>
        </w:rPr>
        <w:t xml:space="preserve">).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speakers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Mimuna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Moroccan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music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photobooth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Henna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artist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decoration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little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kids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While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Noy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little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culture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after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explaining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wanting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Moroccan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tradition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getting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married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Added some pictures: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מכינים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2D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קוקוס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נשיקות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מרנג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מרציפן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יבשים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באגוזים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מופלטה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ודבש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br w:type="textWrapping"/>
      </w:r>
    </w:p>
    <w:p w:rsidR="00000000" w:rsidDel="00000000" w:rsidP="00000000" w:rsidRDefault="00000000" w:rsidRPr="00000000" w14:paraId="0000003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קנינו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בקוסטקו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לימון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חלבונים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לטין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אגוזים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שקדים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שמרים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לטיגון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גדול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חמאה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מומסת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ביצים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אבקת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אפייה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תמצית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קוקוס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טחון</w:t>
      </w:r>
      <w:r w:rsidDel="00000000" w:rsidR="00000000" w:rsidRPr="00000000">
        <w:rPr>
          <w:rtl w:val="1"/>
        </w:rPr>
        <w:t xml:space="preserve"> - 3 </w:t>
      </w:r>
      <w:r w:rsidDel="00000000" w:rsidR="00000000" w:rsidRPr="00000000">
        <w:rPr>
          <w:rtl w:val="1"/>
        </w:rPr>
        <w:t xml:space="preserve">חבילות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אבקת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שוקולד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